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84" w:rsidRPr="00D14584" w:rsidRDefault="009E1A01" w:rsidP="00D14584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доступности и </w:t>
      </w:r>
      <w:r w:rsidR="00D14584" w:rsidRPr="00D14584">
        <w:rPr>
          <w:rFonts w:ascii="Times New Roman" w:hAnsi="Times New Roman" w:cs="Times New Roman"/>
          <w:b/>
          <w:sz w:val="24"/>
          <w:szCs w:val="24"/>
        </w:rPr>
        <w:t xml:space="preserve">качества медицинской помощи </w:t>
      </w:r>
      <w:r>
        <w:rPr>
          <w:rFonts w:ascii="Times New Roman" w:hAnsi="Times New Roman" w:cs="Times New Roman"/>
          <w:b/>
          <w:sz w:val="24"/>
          <w:szCs w:val="24"/>
        </w:rPr>
        <w:t>в 2024 году:</w:t>
      </w:r>
    </w:p>
    <w:p w:rsidR="00D14584" w:rsidRPr="00D14584" w:rsidRDefault="00D14584" w:rsidP="00D1458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4584">
        <w:rPr>
          <w:rFonts w:ascii="Times New Roman" w:hAnsi="Times New Roman" w:cs="Times New Roman"/>
          <w:sz w:val="24"/>
          <w:szCs w:val="24"/>
        </w:rPr>
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 доля впервые выявленных онкологических </w:t>
      </w:r>
      <w:bookmarkStart w:id="0" w:name="_GoBack"/>
      <w:bookmarkEnd w:id="0"/>
      <w:r w:rsidRPr="00D14584">
        <w:rPr>
          <w:rFonts w:ascii="Times New Roman" w:hAnsi="Times New Roman" w:cs="Times New Roman"/>
          <w:sz w:val="24"/>
          <w:szCs w:val="24"/>
        </w:rPr>
        <w:t xml:space="preserve">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 доля пациентов с инфарктом миокарда, госпитализированных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12 часов от начала заболевания, в общем количестве госпитализированных пациентов с инфарктом миокарда; доля пациентов с острым инфарктом миокарда, которым проведено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проведению;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  <w:r w:rsidRPr="00D14584">
        <w:rPr>
          <w:rFonts w:ascii="Times New Roman" w:hAnsi="Times New Roman" w:cs="Times New Roman"/>
          <w:sz w:val="24"/>
          <w:szCs w:val="24"/>
        </w:rPr>
        <w:pgNum/>
      </w:r>
      <w:r w:rsidRPr="00D14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 xml:space="preserve">68 1719111-Уч-2023 (1.0) доля пациентов с острым инфарктом миокарда, которым проведена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 терапия в первые 12 часов от начала заболевания, в общем количестве пациентов с острым инфарктом миокарда, имеющих показания к ее проведению; 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доля пациентов с острыми цереброваскулярными болезнями, госпитализированных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 доля пациентов с острым ишемическим инсультом, которым проведена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заболевания; доля пациентов с острым ишемическим инсультом, которым проведена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 доля пациентов, получающих лечебное (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>) питание в рамках оказания паллиативной медицинской помощи, в общем количестве пациентов, нуждающихся в лечебном (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энтеральном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) питании при оказании паллиативной медицинской помощи; доля лиц репродуктивного возраста, прошедших диспансеризацию для оценки репродуктивного здоровья женщин и мужчин (отдельно по мужчинам и женщинам); 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</w:t>
      </w:r>
      <w:r w:rsidRPr="00D14584">
        <w:rPr>
          <w:rFonts w:ascii="Times New Roman" w:hAnsi="Times New Roman" w:cs="Times New Roman"/>
          <w:sz w:val="24"/>
          <w:szCs w:val="24"/>
        </w:rPr>
        <w:lastRenderedPageBreak/>
        <w:t>бесплодие";</w:t>
      </w:r>
      <w:r w:rsidRPr="00D14584">
        <w:rPr>
          <w:rFonts w:ascii="Times New Roman" w:hAnsi="Times New Roman" w:cs="Times New Roman"/>
          <w:sz w:val="24"/>
          <w:szCs w:val="24"/>
        </w:rPr>
        <w:pgNum/>
      </w:r>
      <w:r w:rsidRPr="00D14584">
        <w:rPr>
          <w:rFonts w:ascii="Times New Roman" w:hAnsi="Times New Roman" w:cs="Times New Roman"/>
          <w:sz w:val="24"/>
          <w:szCs w:val="24"/>
        </w:rPr>
        <w:t xml:space="preserve"> 69 1719111-Уч-2023 (1.0) число циклов экстракорпорального оплодотворения, выполняемых медицинской организацией, в течение одного года; доля случаев экстракорпорального оплодотворения, по результатам которого у женщины наступила беременность;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эмбрионов);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охват диспансерным наблюдением граждан, состоящих на учете в медицинской организации с диагнозом "бронхиальная астма", процентов в год; охват диспансерным наблюдением граждан, состоящих на учете в медицинской организации с диагнозом "хроническая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 болезнь легких", процентов в год; доля пациентов с диагнозом "хроническая сердечная недостаточность", находящихся под диспансерным наблюдением, получающих лекарственное обеспечение; охват диспансерным наблюдением граждан, состоящих на учете в медицинской организации с диагнозом "гипертоническая болезнь", процентов в год; охват диспансерным наблюдением граждан, состоящих на учете в медицинской организации с диагнозом "сахарный диабет", процентов в год; количество пациентов с гепатитом C, получивших противовирусную терапию, на 100 тыс. населения в год; доля ветеранов боевых действий, получивших паллиативную медицинскую помощь и (или) лечебное (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 xml:space="preserve">) питание, из числа нуждающихся; 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 Территориальной программой государственных гарантий устанавливаются целевые значения критериев доступности и качества 70 1719111-Уч-2023 (1.0) медицинской помощи, на основе которых проводится комплексная оценка их уровня и динамики. 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 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 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 </w:t>
      </w:r>
      <w:proofErr w:type="gramStart"/>
      <w:r w:rsidRPr="00D14584">
        <w:rPr>
          <w:rFonts w:ascii="Times New Roman" w:hAnsi="Times New Roman" w:cs="Times New Roman"/>
          <w:sz w:val="24"/>
          <w:szCs w:val="24"/>
        </w:rPr>
        <w:t xml:space="preserve">Критериями доступности медицинской помощи, оказываемой федеральными медицинскими организациями, являются: 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 w:rsidRPr="00D14584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D14584">
        <w:rPr>
          <w:rFonts w:ascii="Times New Roman" w:hAnsi="Times New Roman" w:cs="Times New Roman"/>
          <w:sz w:val="24"/>
          <w:szCs w:val="24"/>
        </w:rPr>
        <w:t>, равным 2 и более, в объеме оказанной специализированной, в том числе высокотехнологичной, медицинской помощи (для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</w:t>
      </w:r>
      <w:proofErr w:type="gramEnd"/>
      <w:r w:rsidRPr="00D14584">
        <w:rPr>
          <w:rFonts w:ascii="Times New Roman" w:hAnsi="Times New Roman" w:cs="Times New Roman"/>
          <w:sz w:val="24"/>
          <w:szCs w:val="24"/>
        </w:rPr>
        <w:t xml:space="preserve"> году - не менее 70 процентов, в 2025 и 2026 годах - не менее 75 процентов); 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sectPr w:rsidR="00D14584" w:rsidRPr="00D14584" w:rsidSect="0034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C79"/>
    <w:rsid w:val="0034390C"/>
    <w:rsid w:val="003C7C79"/>
    <w:rsid w:val="00605D72"/>
    <w:rsid w:val="009E1A01"/>
    <w:rsid w:val="00D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югория-дент</cp:lastModifiedBy>
  <cp:revision>3</cp:revision>
  <dcterms:created xsi:type="dcterms:W3CDTF">2024-01-14T18:39:00Z</dcterms:created>
  <dcterms:modified xsi:type="dcterms:W3CDTF">2024-01-15T13:24:00Z</dcterms:modified>
</cp:coreProperties>
</file>